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9348B">
      <w:pPr>
        <w:widowControl/>
        <w:shd w:val="clear" w:color="auto" w:fill="FFFFFF"/>
        <w:adjustRightInd w:val="0"/>
        <w:snapToGrid w:val="0"/>
        <w:spacing w:after="0" w:line="240" w:lineRule="auto"/>
        <w:jc w:val="center"/>
        <w:rPr>
          <w:rFonts w:hint="eastAsia" w:ascii="方正小标宋简体" w:hAnsi="微软雅黑" w:eastAsia="方正小标宋简体" w:cs="宋体"/>
          <w:w w:val="9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微软雅黑" w:eastAsia="方正小标宋简体" w:cs="宋体"/>
          <w:w w:val="90"/>
          <w:kern w:val="0"/>
          <w:sz w:val="44"/>
          <w:szCs w:val="44"/>
        </w:rPr>
        <w:t>内蒙古自治区社科普及基地工作自查评估表</w:t>
      </w:r>
      <w:bookmarkEnd w:id="0"/>
    </w:p>
    <w:p w14:paraId="075B15F4">
      <w:pPr>
        <w:widowControl/>
        <w:shd w:val="clear" w:color="auto" w:fill="FFFFFF"/>
        <w:adjustRightInd w:val="0"/>
        <w:snapToGrid w:val="0"/>
        <w:spacing w:after="0" w:line="240" w:lineRule="auto"/>
        <w:jc w:val="center"/>
        <w:rPr>
          <w:rFonts w:ascii="微软雅黑" w:hAnsi="微软雅黑" w:eastAsia="微软雅黑" w:cs="宋体"/>
          <w:color w:val="555555"/>
          <w:kern w:val="0"/>
          <w:sz w:val="28"/>
          <w:szCs w:val="28"/>
        </w:rPr>
      </w:pPr>
    </w:p>
    <w:p w14:paraId="7EF19A80">
      <w:pPr>
        <w:widowControl/>
        <w:shd w:val="clear" w:color="auto" w:fill="FFFFFF"/>
        <w:adjustRightInd w:val="0"/>
        <w:snapToGrid w:val="0"/>
        <w:spacing w:after="0" w:line="240" w:lineRule="auto"/>
        <w:jc w:val="center"/>
        <w:rPr>
          <w:rFonts w:hint="eastAsia" w:ascii="微软雅黑" w:hAnsi="微软雅黑" w:eastAsia="微软雅黑" w:cs="宋体"/>
          <w:color w:val="555555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color w:val="555555"/>
          <w:kern w:val="0"/>
          <w:sz w:val="28"/>
          <w:szCs w:val="28"/>
        </w:rPr>
        <w:t xml:space="preserve">基地：                                             </w:t>
      </w:r>
      <w:r>
        <w:rPr>
          <w:rFonts w:ascii="微软雅黑" w:hAnsi="微软雅黑" w:eastAsia="微软雅黑" w:cs="宋体"/>
          <w:color w:val="555555"/>
          <w:kern w:val="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宋体"/>
          <w:color w:val="555555"/>
          <w:kern w:val="0"/>
          <w:sz w:val="28"/>
          <w:szCs w:val="28"/>
        </w:rPr>
        <w:t> （盖章）</w:t>
      </w:r>
    </w:p>
    <w:tbl>
      <w:tblPr>
        <w:tblStyle w:val="15"/>
        <w:tblW w:w="9098" w:type="dxa"/>
        <w:tblInd w:w="-15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79"/>
        <w:gridCol w:w="3865"/>
        <w:gridCol w:w="1327"/>
        <w:gridCol w:w="1273"/>
        <w:gridCol w:w="1854"/>
      </w:tblGrid>
      <w:tr w14:paraId="5574DAD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1" w:hRule="atLeast"/>
        </w:trPr>
        <w:tc>
          <w:tcPr>
            <w:tcW w:w="7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110D2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评估指标</w:t>
            </w:r>
          </w:p>
        </w:tc>
        <w:tc>
          <w:tcPr>
            <w:tcW w:w="3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F068E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评估内容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B4D41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555555"/>
                <w:kern w:val="0"/>
                <w:sz w:val="28"/>
                <w:szCs w:val="28"/>
              </w:rPr>
              <w:t>标准分</w:t>
            </w:r>
          </w:p>
        </w:tc>
        <w:tc>
          <w:tcPr>
            <w:tcW w:w="12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7E0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555555"/>
                <w:kern w:val="0"/>
                <w:sz w:val="28"/>
                <w:szCs w:val="28"/>
              </w:rPr>
              <w:t>自评得分</w:t>
            </w:r>
          </w:p>
        </w:tc>
        <w:tc>
          <w:tcPr>
            <w:tcW w:w="1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63A0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555555"/>
                <w:kern w:val="0"/>
                <w:sz w:val="28"/>
                <w:szCs w:val="28"/>
              </w:rPr>
              <w:t>佐证材料清单</w:t>
            </w:r>
          </w:p>
        </w:tc>
      </w:tr>
      <w:tr w14:paraId="22F8AF43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9C0E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组织领导</w:t>
            </w:r>
          </w:p>
          <w:p w14:paraId="3BFBD480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(15分)</w:t>
            </w:r>
          </w:p>
        </w:tc>
        <w:tc>
          <w:tcPr>
            <w:tcW w:w="3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FF7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1.明确领导分工，有确定的负责社科普及基地工作的机构和人员，有年度社科普及工作计划和总结。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BCD8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52FD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8E6C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</w:tr>
      <w:tr w14:paraId="706AAF2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96851B7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B20B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2.有专（兼）职人员（社科普及志愿者）组成的社科普及工作队伍。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44A8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0DA32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F58B3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</w:tr>
      <w:tr w14:paraId="40432E7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7CD789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9047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3.将社科普及纳入本单位的</w:t>
            </w:r>
            <w:r>
              <w:rPr>
                <w:rFonts w:hint="eastAsia" w:ascii="仿宋_GB2312" w:eastAsia="仿宋_GB2312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工作体系部署和落实，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每年有社科普及活动专项经费。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AF9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3E563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BCE9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</w:tr>
      <w:tr w14:paraId="18E83F7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0310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阵地建设</w:t>
            </w:r>
          </w:p>
          <w:p w14:paraId="54345E5E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(10分)</w:t>
            </w:r>
          </w:p>
        </w:tc>
        <w:tc>
          <w:tcPr>
            <w:tcW w:w="3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5292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4.有固定的、向社会公众开放的社科普及活动场所(媒体、网络平台)。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93B79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B7DAD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4530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</w:tr>
      <w:tr w14:paraId="36D986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0D8A4C2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741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5.社科普及活动场所(媒体、网络平台)开展社科普及宣传展陈、讲座、“七进”等活动。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3EA2D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BAD4B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F422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</w:tr>
      <w:tr w14:paraId="3EF5CB58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A23E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管理制度</w:t>
            </w:r>
          </w:p>
          <w:p w14:paraId="632D06F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(10分)</w:t>
            </w:r>
          </w:p>
        </w:tc>
        <w:tc>
          <w:tcPr>
            <w:tcW w:w="3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1989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6.有社科普及基地工作制度或办法。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7E53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5E2BB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230E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</w:tr>
      <w:tr w14:paraId="0175457C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686C11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6C31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7.有比较完善的激励机制，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将组织开展和参与社科普及纳入本单位考核评比工作量。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56FBC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7AA1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4B9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</w:tr>
      <w:tr w14:paraId="7F47F56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5BED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E8E3737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社科</w:t>
            </w:r>
          </w:p>
          <w:p w14:paraId="40E90D1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普及</w:t>
            </w:r>
          </w:p>
          <w:p w14:paraId="47A7EDE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  <w:p w14:paraId="105E290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(50分)</w:t>
            </w:r>
          </w:p>
        </w:tc>
        <w:tc>
          <w:tcPr>
            <w:tcW w:w="3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E72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8.开展社科普及常态化活动不少于4次，包括报告、讲座、培训、展览、咨询、知识竞赛、社科下基层，发行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社科普及读物、宣传册，在媒体开办专栏、专题节目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等，有必要的文字图片记载或录影资料等档案资料。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206C3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  <w:t>4-8次得10分，9-12次得15分，13次以上得20分；有必要的档案资料加5分</w:t>
            </w:r>
          </w:p>
        </w:tc>
        <w:tc>
          <w:tcPr>
            <w:tcW w:w="12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346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BA18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</w:tr>
      <w:tr w14:paraId="517DEAE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69F0DC0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263D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9.围绕自治区社科联确定的主题开展社科普及集中活动不少于4次，期间报送活动项目、活动</w:t>
            </w:r>
            <w:r>
              <w:rPr>
                <w:rFonts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及统计数据。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AC16E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  <w:t>4-8次得10分，9-12次得15分，13次以上得20分；每季度报送相关信息加5分</w:t>
            </w:r>
          </w:p>
        </w:tc>
        <w:tc>
          <w:tcPr>
            <w:tcW w:w="12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9FE9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2665D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</w:tr>
      <w:tr w14:paraId="648A687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</w:trPr>
        <w:tc>
          <w:tcPr>
            <w:tcW w:w="779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A58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社会效益（15分）</w:t>
            </w:r>
          </w:p>
        </w:tc>
        <w:tc>
          <w:tcPr>
            <w:tcW w:w="3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4476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10.社科普及工作获有关部门表彰奖励。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F5D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  <w:t>国家级5分，自治区级3分，盟市级2分</w:t>
            </w:r>
          </w:p>
        </w:tc>
        <w:tc>
          <w:tcPr>
            <w:tcW w:w="12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AEE3B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1EF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</w:tr>
      <w:tr w14:paraId="0C9005D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CD626F9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1E97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11.社科普及活动得到社会广泛好评或本级以上新闻媒体报道。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26E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B631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6CE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</w:tr>
      <w:tr w14:paraId="69BB320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79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C3CA3B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1CBE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12.社科普及工作富有特色、成绩显著，其经验模式可复制推广，有示范作用。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84B29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4F32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2E8D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</w:tr>
      <w:tr w14:paraId="08B95EA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79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D7A4F8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附加分（10分）</w:t>
            </w:r>
          </w:p>
        </w:tc>
        <w:tc>
          <w:tcPr>
            <w:tcW w:w="3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5E28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13.创办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社科普及内容的</w:t>
            </w:r>
            <w:r>
              <w:rPr>
                <w:rFonts w:hint="eastAsia" w:ascii="仿宋_GB2312" w:eastAsia="仿宋_GB2312"/>
                <w:sz w:val="28"/>
                <w:szCs w:val="28"/>
              </w:rPr>
              <w:t>微博、抖音号、视频号、移动客户端等，运用新媒体开展社科普及宣传，内容坚持正确方向、科学态度，具有一定影响力和普及效果。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1140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555555"/>
                <w:kern w:val="0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8B397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A4EA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</w:tr>
      <w:tr w14:paraId="52E2F90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79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A70141D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微软雅黑" w:eastAsia="仿宋_GB2312" w:cs="宋体"/>
                <w:b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7D4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14.开展跨界、跨省区合作社科普及活动，且具有一定的影响力和普及效果。</w:t>
            </w:r>
          </w:p>
        </w:tc>
        <w:tc>
          <w:tcPr>
            <w:tcW w:w="132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86A7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  <w:t>5</w:t>
            </w:r>
          </w:p>
        </w:tc>
        <w:tc>
          <w:tcPr>
            <w:tcW w:w="12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6C30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5E21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</w:tr>
      <w:tr w14:paraId="3FE3A83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4644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8781745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自评总得分</w:t>
            </w:r>
          </w:p>
        </w:tc>
        <w:tc>
          <w:tcPr>
            <w:tcW w:w="445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1A5D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color w:val="555555"/>
                <w:kern w:val="0"/>
                <w:sz w:val="28"/>
                <w:szCs w:val="28"/>
              </w:rPr>
            </w:pPr>
          </w:p>
        </w:tc>
      </w:tr>
      <w:tr w14:paraId="3386EA72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429" w:hRule="atLeast"/>
        </w:trPr>
        <w:tc>
          <w:tcPr>
            <w:tcW w:w="7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8CC34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color w:val="555555"/>
                <w:kern w:val="0"/>
                <w:sz w:val="28"/>
                <w:szCs w:val="28"/>
              </w:rPr>
              <w:t>自查</w:t>
            </w:r>
          </w:p>
          <w:p w14:paraId="1B7E9D4B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b/>
                <w:color w:val="555555"/>
                <w:kern w:val="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宋体"/>
                <w:b/>
                <w:color w:val="555555"/>
                <w:kern w:val="0"/>
                <w:sz w:val="28"/>
                <w:szCs w:val="28"/>
              </w:rPr>
              <w:t>意见</w:t>
            </w:r>
          </w:p>
        </w:tc>
        <w:tc>
          <w:tcPr>
            <w:tcW w:w="83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364F4C6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  <w:p w14:paraId="330F486A">
            <w:pPr>
              <w:adjustRightInd w:val="0"/>
              <w:snapToGrid w:val="0"/>
              <w:spacing w:after="0"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  <w:p w14:paraId="6C59E757">
            <w:pPr>
              <w:adjustRightInd w:val="0"/>
              <w:snapToGrid w:val="0"/>
              <w:spacing w:after="0"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  <w:p w14:paraId="35E604E6">
            <w:pPr>
              <w:adjustRightInd w:val="0"/>
              <w:snapToGrid w:val="0"/>
              <w:spacing w:after="0" w:line="240" w:lineRule="auto"/>
              <w:ind w:firstLine="1680" w:firstLineChars="6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社科普及基地负责人：</w:t>
            </w:r>
          </w:p>
          <w:p w14:paraId="5456CC10">
            <w:pPr>
              <w:adjustRightInd w:val="0"/>
              <w:snapToGrid w:val="0"/>
              <w:spacing w:after="0" w:line="240" w:lineRule="auto"/>
              <w:ind w:right="1960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</w:p>
          <w:p w14:paraId="20DF59DB">
            <w:pPr>
              <w:adjustRightInd w:val="0"/>
              <w:snapToGrid w:val="0"/>
              <w:spacing w:after="0" w:line="240" w:lineRule="auto"/>
              <w:ind w:right="1120" w:firstLine="1680" w:firstLineChars="600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社科普及基地联系人：          联系电话：</w:t>
            </w:r>
          </w:p>
        </w:tc>
      </w:tr>
      <w:tr w14:paraId="596B11C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71" w:hRule="atLeast"/>
        </w:trPr>
        <w:tc>
          <w:tcPr>
            <w:tcW w:w="7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CE09E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555555"/>
                <w:kern w:val="0"/>
                <w:sz w:val="24"/>
                <w:szCs w:val="24"/>
              </w:rPr>
              <w:t>盟市（单位）社科联意见</w:t>
            </w:r>
          </w:p>
        </w:tc>
        <w:tc>
          <w:tcPr>
            <w:tcW w:w="83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A1F900">
            <w:pPr>
              <w:adjustRightInd w:val="0"/>
              <w:snapToGrid w:val="0"/>
              <w:spacing w:after="0" w:line="240" w:lineRule="auto"/>
              <w:jc w:val="center"/>
              <w:rPr>
                <w:rFonts w:hint="eastAsia"/>
              </w:rPr>
            </w:pPr>
          </w:p>
          <w:p w14:paraId="25DA222F">
            <w:pPr>
              <w:adjustRightInd w:val="0"/>
              <w:snapToGrid w:val="0"/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14:paraId="6907CF27">
            <w:pPr>
              <w:pStyle w:val="2"/>
            </w:pPr>
          </w:p>
          <w:p w14:paraId="65B392D1">
            <w:pPr>
              <w:rPr>
                <w:rFonts w:hint="eastAsia"/>
              </w:rPr>
            </w:pPr>
          </w:p>
          <w:p w14:paraId="03EBA7DA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单位（盖章）：</w:t>
            </w:r>
          </w:p>
          <w:p w14:paraId="029304F4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年    月    日</w:t>
            </w:r>
          </w:p>
          <w:p w14:paraId="5D31C54D">
            <w:pPr>
              <w:adjustRightInd w:val="0"/>
              <w:snapToGrid w:val="0"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联系人：                   联系电话：</w:t>
            </w:r>
          </w:p>
        </w:tc>
      </w:tr>
      <w:tr w14:paraId="05C472B4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186" w:hRule="atLeast"/>
        </w:trPr>
        <w:tc>
          <w:tcPr>
            <w:tcW w:w="77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262F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555555"/>
                <w:kern w:val="0"/>
                <w:sz w:val="24"/>
                <w:szCs w:val="24"/>
              </w:rPr>
              <w:t>自治区社科联评定</w:t>
            </w:r>
          </w:p>
          <w:p w14:paraId="70A0E02B">
            <w:pPr>
              <w:widowControl/>
              <w:adjustRightInd w:val="0"/>
              <w:snapToGrid w:val="0"/>
              <w:spacing w:after="0" w:line="240" w:lineRule="auto"/>
              <w:jc w:val="center"/>
              <w:rPr>
                <w:rFonts w:hint="eastAsia" w:ascii="微软雅黑" w:hAnsi="微软雅黑" w:eastAsia="微软雅黑" w:cs="宋体"/>
                <w:b/>
                <w:color w:val="555555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555555"/>
                <w:kern w:val="0"/>
                <w:sz w:val="24"/>
                <w:szCs w:val="24"/>
              </w:rPr>
              <w:t>意见</w:t>
            </w:r>
          </w:p>
        </w:tc>
        <w:tc>
          <w:tcPr>
            <w:tcW w:w="83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2A6C2A">
            <w:pPr>
              <w:pStyle w:val="2"/>
              <w:adjustRightInd w:val="0"/>
              <w:snapToGrid w:val="0"/>
              <w:spacing w:after="0"/>
              <w:contextualSpacing w:val="0"/>
              <w:rPr>
                <w:b/>
                <w:bCs/>
                <w:sz w:val="21"/>
                <w:szCs w:val="22"/>
              </w:rPr>
            </w:pPr>
          </w:p>
          <w:p w14:paraId="78B91752">
            <w:pPr>
              <w:pStyle w:val="2"/>
              <w:adjustRightInd w:val="0"/>
              <w:snapToGrid w:val="0"/>
              <w:spacing w:after="0"/>
              <w:contextualSpacing w:val="0"/>
              <w:rPr>
                <w:b/>
                <w:bCs/>
                <w:sz w:val="21"/>
                <w:szCs w:val="22"/>
              </w:rPr>
            </w:pPr>
          </w:p>
          <w:p w14:paraId="4C2A7A29">
            <w:pPr>
              <w:pStyle w:val="2"/>
              <w:adjustRightInd w:val="0"/>
              <w:snapToGrid w:val="0"/>
              <w:spacing w:after="0"/>
              <w:contextualSpacing w:val="0"/>
              <w:rPr>
                <w:b/>
                <w:bCs/>
                <w:sz w:val="21"/>
                <w:szCs w:val="22"/>
              </w:rPr>
            </w:pPr>
          </w:p>
          <w:p w14:paraId="6FF027D5">
            <w:pPr>
              <w:pStyle w:val="2"/>
              <w:adjustRightInd w:val="0"/>
              <w:snapToGrid w:val="0"/>
              <w:spacing w:after="0"/>
              <w:contextualSpacing w:val="0"/>
              <w:rPr>
                <w:b/>
                <w:bCs/>
                <w:sz w:val="21"/>
                <w:szCs w:val="22"/>
              </w:rPr>
            </w:pPr>
          </w:p>
          <w:p w14:paraId="6BA806CB">
            <w:pPr>
              <w:pStyle w:val="2"/>
              <w:adjustRightInd w:val="0"/>
              <w:snapToGrid w:val="0"/>
              <w:spacing w:after="0"/>
              <w:contextualSpacing w:val="0"/>
              <w:rPr>
                <w:b/>
                <w:bCs/>
                <w:sz w:val="21"/>
                <w:szCs w:val="22"/>
              </w:rPr>
            </w:pPr>
          </w:p>
          <w:p w14:paraId="7476C799">
            <w:pPr>
              <w:pStyle w:val="2"/>
              <w:adjustRightInd w:val="0"/>
              <w:snapToGrid w:val="0"/>
              <w:spacing w:after="0"/>
              <w:contextualSpacing w:val="0"/>
              <w:rPr>
                <w:b/>
                <w:bCs/>
                <w:sz w:val="21"/>
                <w:szCs w:val="22"/>
              </w:rPr>
            </w:pPr>
          </w:p>
          <w:p w14:paraId="64B649AB">
            <w:pPr>
              <w:pStyle w:val="2"/>
              <w:adjustRightInd w:val="0"/>
              <w:snapToGrid w:val="0"/>
              <w:spacing w:after="0"/>
              <w:contextualSpacing w:val="0"/>
              <w:rPr>
                <w:b/>
                <w:bCs/>
                <w:sz w:val="21"/>
                <w:szCs w:val="22"/>
              </w:rPr>
            </w:pPr>
          </w:p>
          <w:p w14:paraId="4E567BD2">
            <w:pPr>
              <w:pStyle w:val="2"/>
              <w:adjustRightInd w:val="0"/>
              <w:snapToGrid w:val="0"/>
              <w:spacing w:after="0"/>
              <w:contextualSpacing w:val="0"/>
              <w:rPr>
                <w:b/>
                <w:bCs/>
                <w:sz w:val="21"/>
                <w:szCs w:val="22"/>
              </w:rPr>
            </w:pPr>
          </w:p>
          <w:p w14:paraId="2E497DF2">
            <w:pPr>
              <w:pStyle w:val="2"/>
              <w:adjustRightInd w:val="0"/>
              <w:snapToGrid w:val="0"/>
              <w:spacing w:after="0"/>
              <w:contextualSpacing w:val="0"/>
              <w:rPr>
                <w:b/>
                <w:bCs/>
                <w:sz w:val="21"/>
                <w:szCs w:val="22"/>
              </w:rPr>
            </w:pPr>
          </w:p>
          <w:p w14:paraId="20C19D81">
            <w:pPr>
              <w:pStyle w:val="2"/>
              <w:adjustRightInd w:val="0"/>
              <w:snapToGrid w:val="0"/>
              <w:spacing w:after="0"/>
              <w:contextualSpacing w:val="0"/>
              <w:rPr>
                <w:b/>
                <w:bCs/>
                <w:sz w:val="21"/>
                <w:szCs w:val="22"/>
              </w:rPr>
            </w:pPr>
          </w:p>
          <w:p w14:paraId="06E7B998">
            <w:pPr>
              <w:pStyle w:val="2"/>
              <w:adjustRightInd w:val="0"/>
              <w:snapToGrid w:val="0"/>
              <w:spacing w:after="0"/>
              <w:contextualSpacing w:val="0"/>
              <w:rPr>
                <w:b/>
                <w:bCs/>
                <w:sz w:val="21"/>
                <w:szCs w:val="22"/>
              </w:rPr>
            </w:pPr>
          </w:p>
          <w:p w14:paraId="42DFA380">
            <w:pPr>
              <w:pStyle w:val="2"/>
              <w:adjustRightInd w:val="0"/>
              <w:snapToGrid w:val="0"/>
              <w:spacing w:after="0"/>
              <w:contextualSpacing w:val="0"/>
              <w:rPr>
                <w:b/>
                <w:bCs/>
                <w:sz w:val="21"/>
                <w:szCs w:val="22"/>
              </w:rPr>
            </w:pPr>
          </w:p>
          <w:p w14:paraId="12D162B5">
            <w:pPr>
              <w:pStyle w:val="2"/>
              <w:adjustRightInd w:val="0"/>
              <w:snapToGrid w:val="0"/>
              <w:spacing w:after="0"/>
              <w:contextualSpacing w:val="0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 xml:space="preserve">                            年   月   日</w:t>
            </w:r>
          </w:p>
        </w:tc>
      </w:tr>
    </w:tbl>
    <w:p w14:paraId="03FE4E6B">
      <w:pPr>
        <w:adjustRightInd w:val="0"/>
        <w:snapToGrid w:val="0"/>
        <w:spacing w:after="0" w:line="240" w:lineRule="auto"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E1"/>
    <w:rsid w:val="000114A8"/>
    <w:rsid w:val="00016B96"/>
    <w:rsid w:val="00054F8B"/>
    <w:rsid w:val="00091DAB"/>
    <w:rsid w:val="000A7E53"/>
    <w:rsid w:val="00117055"/>
    <w:rsid w:val="001234CD"/>
    <w:rsid w:val="00124CE1"/>
    <w:rsid w:val="001728CA"/>
    <w:rsid w:val="0018592D"/>
    <w:rsid w:val="001C798F"/>
    <w:rsid w:val="00265BC5"/>
    <w:rsid w:val="00267470"/>
    <w:rsid w:val="002944C0"/>
    <w:rsid w:val="002A302B"/>
    <w:rsid w:val="002C3CD6"/>
    <w:rsid w:val="00322D9A"/>
    <w:rsid w:val="003752B3"/>
    <w:rsid w:val="003C61E9"/>
    <w:rsid w:val="003F12C1"/>
    <w:rsid w:val="00402E9E"/>
    <w:rsid w:val="0040717C"/>
    <w:rsid w:val="00424FBE"/>
    <w:rsid w:val="00431FA3"/>
    <w:rsid w:val="00482DF4"/>
    <w:rsid w:val="004B3CBA"/>
    <w:rsid w:val="004B5C11"/>
    <w:rsid w:val="004B6843"/>
    <w:rsid w:val="005B2029"/>
    <w:rsid w:val="00622DD7"/>
    <w:rsid w:val="00647570"/>
    <w:rsid w:val="00653604"/>
    <w:rsid w:val="006650C4"/>
    <w:rsid w:val="006804B6"/>
    <w:rsid w:val="006A4CDC"/>
    <w:rsid w:val="006C4FBA"/>
    <w:rsid w:val="00703614"/>
    <w:rsid w:val="007412A5"/>
    <w:rsid w:val="00745EFE"/>
    <w:rsid w:val="00757FA3"/>
    <w:rsid w:val="0078380E"/>
    <w:rsid w:val="007B1DBD"/>
    <w:rsid w:val="007C03E9"/>
    <w:rsid w:val="007D4B68"/>
    <w:rsid w:val="007F59D4"/>
    <w:rsid w:val="008231FD"/>
    <w:rsid w:val="008E04BF"/>
    <w:rsid w:val="008E51A7"/>
    <w:rsid w:val="00932196"/>
    <w:rsid w:val="009351A2"/>
    <w:rsid w:val="00941E60"/>
    <w:rsid w:val="00950AD1"/>
    <w:rsid w:val="00960A23"/>
    <w:rsid w:val="0097639D"/>
    <w:rsid w:val="009B6F0B"/>
    <w:rsid w:val="00A07B80"/>
    <w:rsid w:val="00A2530E"/>
    <w:rsid w:val="00A540E0"/>
    <w:rsid w:val="00A753A7"/>
    <w:rsid w:val="00AA1BDD"/>
    <w:rsid w:val="00AB2722"/>
    <w:rsid w:val="00AB44B7"/>
    <w:rsid w:val="00B17229"/>
    <w:rsid w:val="00B901A1"/>
    <w:rsid w:val="00BE0B85"/>
    <w:rsid w:val="00BF7A4F"/>
    <w:rsid w:val="00C1423F"/>
    <w:rsid w:val="00C2587B"/>
    <w:rsid w:val="00CB1D07"/>
    <w:rsid w:val="00CB3E34"/>
    <w:rsid w:val="00D01B2F"/>
    <w:rsid w:val="00D06481"/>
    <w:rsid w:val="00D372FB"/>
    <w:rsid w:val="00D41441"/>
    <w:rsid w:val="00D45299"/>
    <w:rsid w:val="00D71A62"/>
    <w:rsid w:val="00D87514"/>
    <w:rsid w:val="00D923D5"/>
    <w:rsid w:val="00D9272C"/>
    <w:rsid w:val="00DD625C"/>
    <w:rsid w:val="00DE23B5"/>
    <w:rsid w:val="00DF4318"/>
    <w:rsid w:val="00E263CA"/>
    <w:rsid w:val="00E43486"/>
    <w:rsid w:val="00E70FB5"/>
    <w:rsid w:val="00EA6758"/>
    <w:rsid w:val="00EF0DE0"/>
    <w:rsid w:val="00F1616D"/>
    <w:rsid w:val="00F22395"/>
    <w:rsid w:val="00F26EE4"/>
    <w:rsid w:val="00F34ABF"/>
    <w:rsid w:val="00F41BA3"/>
    <w:rsid w:val="00F53E5E"/>
    <w:rsid w:val="00F65531"/>
    <w:rsid w:val="00FC79E5"/>
    <w:rsid w:val="00FF320B"/>
    <w:rsid w:val="00FF7B2B"/>
    <w:rsid w:val="3B4B0D56"/>
    <w:rsid w:val="5390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480" w:after="80" w:line="240" w:lineRule="auto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4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40" w:lineRule="auto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5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40" w:lineRule="auto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6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40" w:lineRule="auto"/>
      <w:outlineLvl w:val="3"/>
    </w:pPr>
    <w:rPr>
      <w:rFonts w:cstheme="majorBidi"/>
      <w:color w:val="104862" w:themeColor="accent1" w:themeShade="BF"/>
      <w:sz w:val="28"/>
      <w:szCs w:val="28"/>
      <w14:ligatures w14:val="standardContextual"/>
    </w:rPr>
  </w:style>
  <w:style w:type="paragraph" w:styleId="7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40" w:lineRule="auto"/>
      <w:outlineLvl w:val="4"/>
    </w:pPr>
    <w:rPr>
      <w:rFonts w:cstheme="majorBidi"/>
      <w:color w:val="104862" w:themeColor="accent1" w:themeShade="BF"/>
      <w:sz w:val="24"/>
      <w:szCs w:val="24"/>
      <w14:ligatures w14:val="standardContextual"/>
    </w:rPr>
  </w:style>
  <w:style w:type="paragraph" w:styleId="8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 w:line="240" w:lineRule="auto"/>
      <w:outlineLvl w:val="5"/>
    </w:pPr>
    <w:rPr>
      <w:rFonts w:cstheme="majorBidi"/>
      <w:b/>
      <w:bCs/>
      <w:color w:val="104862" w:themeColor="accent1" w:themeShade="BF"/>
      <w14:ligatures w14:val="standardContextual"/>
    </w:rPr>
  </w:style>
  <w:style w:type="paragraph" w:styleId="9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 w:line="240" w:lineRule="auto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 w:line="240" w:lineRule="auto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1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 w:line="240" w:lineRule="auto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26"/>
    <w:qFormat/>
    <w:uiPriority w:val="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paragraph" w:styleId="12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sz w:val="18"/>
      <w:szCs w:val="18"/>
      <w14:ligatures w14:val="standardContextual"/>
    </w:rPr>
  </w:style>
  <w:style w:type="paragraph" w:styleId="13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sz w:val="18"/>
      <w:szCs w:val="18"/>
      <w14:ligatures w14:val="standardContextual"/>
    </w:rPr>
  </w:style>
  <w:style w:type="paragraph" w:styleId="14">
    <w:name w:val="Subtitle"/>
    <w:basedOn w:val="1"/>
    <w:next w:val="1"/>
    <w:link w:val="27"/>
    <w:qFormat/>
    <w:uiPriority w:val="11"/>
    <w:pPr>
      <w:spacing w:line="240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customStyle="1" w:styleId="17">
    <w:name w:val="标题 1 字符"/>
    <w:basedOn w:val="16"/>
    <w:link w:val="3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5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6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7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8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9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10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1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line="240" w:lineRule="auto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0" w:line="240" w:lineRule="auto"/>
      <w:ind w:left="720"/>
      <w:contextualSpacing/>
    </w:pPr>
    <w:rPr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40" w:lineRule="auto"/>
      <w:ind w:left="864" w:right="864"/>
      <w:jc w:val="center"/>
    </w:pPr>
    <w:rPr>
      <w:i/>
      <w:iCs/>
      <w:color w:val="104862" w:themeColor="accent1" w:themeShade="BF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3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822</Words>
  <Characters>869</Characters>
  <Lines>8</Lines>
  <Paragraphs>2</Paragraphs>
  <TotalTime>5</TotalTime>
  <ScaleCrop>false</ScaleCrop>
  <LinksUpToDate>false</LinksUpToDate>
  <CharactersWithSpaces>1036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2025-03-03T09:10:00Z</dcterms:created>
  <dc:creator>Jack Wong</dc:creator>
  <cp:lastModifiedBy>SKL</cp:lastModifiedBy>
  <dcterms:modified xsi:type="dcterms:W3CDTF">2025-03-04T07:46:20Z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20807F5BBA2D48DA93E66470654D8836_13</vt:lpwstr>
  </property>
</Properties>
</file>